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widowControl w:val="0"/>
        <w:spacing w:after="0"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2">
      <w:pPr>
        <w:keepNext w:val="1"/>
        <w:widowControl w:val="0"/>
        <w:spacing w:after="0"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03">
      <w:pPr>
        <w:keepNext w:val="1"/>
        <w:widowControl w:val="0"/>
        <w:spacing w:after="0"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04">
      <w:pPr>
        <w:keepNext w:val="1"/>
        <w:widowControl w:val="0"/>
        <w:spacing w:after="0"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05">
      <w:pPr>
        <w:keepNext w:val="1"/>
        <w:widowControl w:val="0"/>
        <w:spacing w:after="0"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06">
      <w:pPr>
        <w:keepNext w:val="1"/>
        <w:widowControl w:val="0"/>
        <w:spacing w:after="0"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For Immediate Release</w:t>
      </w:r>
    </w:p>
    <w:p w:rsidR="00000000" w:rsidDel="00000000" w:rsidP="00000000" w:rsidRDefault="00000000" w:rsidRPr="00000000" w14:paraId="00000007">
      <w:pPr>
        <w:keepNext w:val="1"/>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25, 2025</w:t>
      </w:r>
      <w:r w:rsidDel="00000000" w:rsidR="00000000" w:rsidRPr="00000000">
        <w:rPr>
          <w:rtl w:val="0"/>
        </w:rPr>
      </w:r>
    </w:p>
    <w:p w:rsidR="00000000" w:rsidDel="00000000" w:rsidP="00000000" w:rsidRDefault="00000000" w:rsidRPr="00000000" w14:paraId="00000008">
      <w:pPr>
        <w:keepNext w:val="1"/>
        <w:widowControl w:val="0"/>
        <w:spacing w:after="0"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9">
      <w:pPr>
        <w:keepNext w:val="1"/>
        <w:widowControl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Contacts</w:t>
      </w:r>
      <w:r w:rsidDel="00000000" w:rsidR="00000000" w:rsidRPr="00000000">
        <w:rPr>
          <w:rtl w:val="0"/>
        </w:rPr>
      </w:r>
    </w:p>
    <w:p w:rsidR="00000000" w:rsidDel="00000000" w:rsidP="00000000" w:rsidRDefault="00000000" w:rsidRPr="00000000" w14:paraId="0000000A">
      <w:pPr>
        <w:keepNext w:val="1"/>
        <w:widowControl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Aundrea Peterson</w:t>
      </w:r>
    </w:p>
    <w:p w:rsidR="00000000" w:rsidDel="00000000" w:rsidP="00000000" w:rsidRDefault="00000000" w:rsidRPr="00000000" w14:paraId="0000000B">
      <w:pPr>
        <w:keepNext w:val="1"/>
        <w:widowControl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Utah Senate</w:t>
      </w:r>
    </w:p>
    <w:p w:rsidR="00000000" w:rsidDel="00000000" w:rsidP="00000000" w:rsidRDefault="00000000" w:rsidRPr="00000000" w14:paraId="0000000C">
      <w:pPr>
        <w:keepNext w:val="1"/>
        <w:widowControl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801-791-3365 | </w:t>
      </w:r>
      <w:hyperlink r:id="rId6">
        <w:r w:rsidDel="00000000" w:rsidR="00000000" w:rsidRPr="00000000">
          <w:rPr>
            <w:rFonts w:ascii="Times New Roman" w:cs="Times New Roman" w:eastAsia="Times New Roman" w:hAnsi="Times New Roman"/>
            <w:sz w:val="24"/>
            <w:szCs w:val="24"/>
            <w:rtl w:val="0"/>
          </w:rPr>
          <w:t xml:space="preserve">aundreapeterson@le.utah.gov</w:t>
        </w:r>
      </w:hyperlink>
      <w:r w:rsidDel="00000000" w:rsidR="00000000" w:rsidRPr="00000000">
        <w:rPr>
          <w:rtl w:val="0"/>
        </w:rPr>
      </w:r>
    </w:p>
    <w:p w:rsidR="00000000" w:rsidDel="00000000" w:rsidP="00000000" w:rsidRDefault="00000000" w:rsidRPr="00000000" w14:paraId="0000000D">
      <w:pPr>
        <w:keepNext w:val="1"/>
        <w:widowControl w:val="0"/>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1"/>
        <w:widowControl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 Musselman</w:t>
      </w:r>
    </w:p>
    <w:p w:rsidR="00000000" w:rsidDel="00000000" w:rsidP="00000000" w:rsidRDefault="00000000" w:rsidRPr="00000000" w14:paraId="0000000F">
      <w:pPr>
        <w:keepNext w:val="1"/>
        <w:widowControl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Utah House of Representatives</w:t>
      </w:r>
    </w:p>
    <w:p w:rsidR="00000000" w:rsidDel="00000000" w:rsidP="00000000" w:rsidRDefault="00000000" w:rsidRPr="00000000" w14:paraId="00000010">
      <w:pPr>
        <w:keepNext w:val="1"/>
        <w:widowControl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801-865-5882 | </w:t>
      </w:r>
      <w:hyperlink r:id="rId7">
        <w:r w:rsidDel="00000000" w:rsidR="00000000" w:rsidRPr="00000000">
          <w:rPr>
            <w:rFonts w:ascii="Times New Roman" w:cs="Times New Roman" w:eastAsia="Times New Roman" w:hAnsi="Times New Roman"/>
            <w:sz w:val="24"/>
            <w:szCs w:val="24"/>
            <w:rtl w:val="0"/>
          </w:rPr>
          <w:t xml:space="preserve">amusselman@le.utah.gov</w:t>
        </w:r>
      </w:hyperlink>
      <w:r w:rsidDel="00000000" w:rsidR="00000000" w:rsidRPr="00000000">
        <w:rPr>
          <w:rtl w:val="0"/>
        </w:rPr>
      </w:r>
    </w:p>
    <w:p w:rsidR="00000000" w:rsidDel="00000000" w:rsidP="00000000" w:rsidRDefault="00000000" w:rsidRPr="00000000" w14:paraId="00000011">
      <w:pPr>
        <w:keepNext w:val="1"/>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1"/>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Utah Elected Leaders Take Unified Action to Restore Stability, Protect Constitutional Order and Safeguard the Voice of the People</w:t>
      </w:r>
      <w:r w:rsidDel="00000000" w:rsidR="00000000" w:rsidRPr="00000000">
        <w:rPr>
          <w:rtl w:val="0"/>
        </w:rPr>
      </w:r>
    </w:p>
    <w:p w:rsidR="00000000" w:rsidDel="00000000" w:rsidP="00000000" w:rsidRDefault="00000000" w:rsidRPr="00000000" w14:paraId="00000013">
      <w:pPr>
        <w:keepNext w:val="1"/>
        <w:widowControl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keepNext w:val="1"/>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SALT LAKE CITY – President J. Stuart Adams and Speaker Mike Schultz release the following statement regarding the Utah Legislature’s </w:t>
      </w:r>
      <w:r w:rsidDel="00000000" w:rsidR="00000000" w:rsidRPr="00000000">
        <w:rPr>
          <w:rFonts w:ascii="Times New Roman" w:cs="Times New Roman" w:eastAsia="Times New Roman" w:hAnsi="Times New Roman"/>
          <w:sz w:val="24"/>
          <w:szCs w:val="24"/>
          <w:rtl w:val="0"/>
        </w:rPr>
        <w:t xml:space="preserve">focus </w:t>
      </w:r>
      <w:r w:rsidDel="00000000" w:rsidR="00000000" w:rsidRPr="00000000">
        <w:rPr>
          <w:rFonts w:ascii="Times New Roman" w:cs="Times New Roman" w:eastAsia="Times New Roman" w:hAnsi="Times New Roman"/>
          <w:sz w:val="24"/>
          <w:szCs w:val="24"/>
          <w:rtl w:val="0"/>
        </w:rPr>
        <w:t xml:space="preserve">to restore stability, protect constitutional order and safeguard the voice of the people: </w:t>
      </w:r>
    </w:p>
    <w:p w:rsidR="00000000" w:rsidDel="00000000" w:rsidP="00000000" w:rsidRDefault="00000000" w:rsidRPr="00000000" w14:paraId="00000015">
      <w:pPr>
        <w:keepNext w:val="1"/>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1"/>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duty as elected representatives of Utah is to ensure the long-term strength and stability of our state constitutional institutions. Utah’s two elected branches of government—the legislative and executive—are fully united as we move forward to restore order and stability. The courts have created confusion and uncertainty in a process that should be predictable and constitutional, and we are taking immediate steps to fix it. Let us be very clear: we will appeal to the Utah Supreme Court.</w:t>
      </w:r>
    </w:p>
    <w:p w:rsidR="00000000" w:rsidDel="00000000" w:rsidP="00000000" w:rsidRDefault="00000000" w:rsidRPr="00000000" w14:paraId="00000017">
      <w:pPr>
        <w:keepNext w:val="1"/>
        <w:widowControl w:val="0"/>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1"/>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moment is about preserving a clear, accountable framework that will guide our state for decades to come, one where the people of Utah, not outside interests or shifting interpretations, chart the path forward. Our commitment is to protect Utah’s constitutional framework, strengthen our institutions, and ensure Utah’s future stays firmly in the hands of Utahns.”</w:t>
      </w:r>
    </w:p>
    <w:p w:rsidR="00000000" w:rsidDel="00000000" w:rsidP="00000000" w:rsidRDefault="00000000" w:rsidRPr="00000000" w14:paraId="00000019">
      <w:pPr>
        <w:keepNext w:val="1"/>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keepNext w:val="1"/>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Legislature will take the following steps: </w:t>
      </w:r>
    </w:p>
    <w:p w:rsidR="00000000" w:rsidDel="00000000" w:rsidP="00000000" w:rsidRDefault="00000000" w:rsidRPr="00000000" w14:paraId="0000001B">
      <w:pPr>
        <w:keepNext w:val="1"/>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Immediately request that the Third District Court issue a final ruling, allowing an appeal to a higher court. </w:t>
      </w:r>
    </w:p>
    <w:p w:rsidR="00000000" w:rsidDel="00000000" w:rsidP="00000000" w:rsidRDefault="00000000" w:rsidRPr="00000000" w14:paraId="0000001C">
      <w:pPr>
        <w:keepNext w:val="1"/>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Appeal to the Utah Supreme Court. </w:t>
      </w:r>
    </w:p>
    <w:p w:rsidR="00000000" w:rsidDel="00000000" w:rsidP="00000000" w:rsidRDefault="00000000" w:rsidRPr="00000000" w14:paraId="0000001D">
      <w:pPr>
        <w:keepNext w:val="1"/>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Convene a Governor-called special session on December 9 to ensure our election system has the clarity it needs. </w:t>
      </w:r>
    </w:p>
    <w:p w:rsidR="00000000" w:rsidDel="00000000" w:rsidP="00000000" w:rsidRDefault="00000000" w:rsidRPr="00000000" w14:paraId="0000001E">
      <w:pPr>
        <w:keepNext w:val="1"/>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keepNext w:val="1"/>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keepNext w:val="1"/>
        <w:widowControl w:val="0"/>
        <w:spacing w:after="0" w:before="0" w:line="240" w:lineRule="auto"/>
        <w:jc w:val="left"/>
        <w:rPr>
          <w:rFonts w:ascii="Times New Roman" w:cs="Times New Roman" w:eastAsia="Times New Roman" w:hAnsi="Times New Roman"/>
          <w:sz w:val="24"/>
          <w:szCs w:val="24"/>
        </w:rPr>
      </w:pP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-500062</wp:posOffset>
          </wp:positionH>
          <wp:positionV relativeFrom="paragraph">
            <wp:posOffset>-209549</wp:posOffset>
          </wp:positionV>
          <wp:extent cx="6941939" cy="14239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41939" cy="14239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aundreapeterson@le.utah.gov" TargetMode="External"/><Relationship Id="rId7" Type="http://schemas.openxmlformats.org/officeDocument/2006/relationships/hyperlink" Target="mailto:aroberts@le.utah.gov"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